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rPr/>
      </w:pPr>
      <w:r w:rsidDel="00000000" w:rsidR="00000000" w:rsidRPr="00000000">
        <w:rPr>
          <w:b w:val="1"/>
          <w:bCs w:val="1"/>
          <w:rtl w:val="0"/>
        </w:rPr>
        <w:t xml:space="preserve">Program Exit Feedback </w:t>
      </w: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institution administers a structured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Program Exit Feedback Form</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to graduating students of all programmes (BBA, B.Tech, BCA, MBA) to evaluate the effectiveness of curriculum delivery, teaching-learning processes, faculty support, and overall academic experience. This systematic feedback mechanism enables the institution to identify strengths and address improvement areas as part of continuous quality enhancement recommended by NAAC.</w:t>
      </w:r>
    </w:p>
    <w:p w:rsidR="00000000" w:rsidDel="00000000" w:rsidP="00000000" w:rsidRDefault="00000000" w:rsidRPr="00000000" w14:paraId="00000003">
      <w:pPr>
        <w:pStyle w:val="Heading3"/>
        <w:rPr/>
      </w:pPr>
      <w:r w:rsidDel="00000000" w:rsidR="00000000" w:rsidRPr="00000000">
        <w:rPr>
          <w:b w:val="1"/>
          <w:bCs w:val="1"/>
          <w:rtl w:val="0"/>
        </w:rPr>
        <w:t xml:space="preserve">Purpose of Collecting Program Exit Feedback</w:t>
      </w: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primary purpose of the Program Exit Feedback is to:</w:t>
      </w:r>
    </w:p>
    <w:p w:rsidR="00000000" w:rsidDel="00000000" w:rsidP="00000000" w:rsidRDefault="00000000" w:rsidRPr="00000000" w14:paraId="0000000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Assess how well the curriculum met students’ learning expectations and career aspirations.</w:t>
      </w:r>
    </w:p>
    <w:p w:rsidR="00000000" w:rsidDel="00000000" w:rsidP="00000000" w:rsidRDefault="00000000" w:rsidRPr="00000000" w14:paraId="0000000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Evaluate the effectiveness of teaching methods, classroom activities, and assessment processes.</w:t>
      </w:r>
    </w:p>
    <w:p w:rsidR="00000000" w:rsidDel="00000000" w:rsidP="00000000" w:rsidRDefault="00000000" w:rsidRPr="00000000" w14:paraId="0000000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Review the quality of faculty support and academic guidance provided throughout the program.</w:t>
      </w:r>
    </w:p>
    <w:p w:rsidR="00000000" w:rsidDel="00000000" w:rsidP="00000000" w:rsidRDefault="00000000" w:rsidRPr="00000000" w14:paraId="0000000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Measure the relevance of skills, knowledge, and competencies acquired by the students.</w:t>
      </w:r>
    </w:p>
    <w:p w:rsidR="00000000" w:rsidDel="00000000" w:rsidP="00000000" w:rsidRDefault="00000000" w:rsidRPr="00000000" w14:paraId="0000000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Gather constructive suggestions for enhancing course content, pedagogy, and learning resources.</w:t>
      </w:r>
    </w:p>
    <w:p w:rsidR="00000000" w:rsidDel="00000000" w:rsidP="00000000" w:rsidRDefault="00000000" w:rsidRPr="00000000" w14:paraId="000000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Strengthen the institution’s quality assurance practices through stakeholder involvement.</w:t>
      </w:r>
    </w:p>
    <w:p w:rsidR="00000000" w:rsidDel="00000000" w:rsidP="00000000" w:rsidRDefault="00000000" w:rsidRPr="00000000" w14:paraId="0000000B">
      <w:pPr>
        <w:pStyle w:val="Heading3"/>
        <w:rPr/>
      </w:pPr>
      <w:r w:rsidDel="00000000" w:rsidR="00000000" w:rsidRPr="00000000">
        <w:rPr>
          <w:b w:val="1"/>
          <w:bCs w:val="1"/>
          <w:rtl w:val="0"/>
        </w:rPr>
        <w:t xml:space="preserve">Frequency</w:t>
      </w: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Program Exit Feedback is collected from graduating students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once at the end of the program</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ensuring comprehensive feedback on their complete academic experience.</w:t>
      </w:r>
    </w:p>
    <w:p w:rsidR="00000000" w:rsidDel="00000000" w:rsidP="00000000" w:rsidRDefault="00000000" w:rsidRPr="00000000" w14:paraId="0000000D">
      <w:pPr>
        <w:pStyle w:val="Heading3"/>
        <w:rPr/>
      </w:pPr>
      <w:r w:rsidDel="00000000" w:rsidR="00000000" w:rsidRPr="00000000">
        <w:rPr>
          <w:b w:val="1"/>
          <w:bCs w:val="1"/>
          <w:rtl w:val="0"/>
        </w:rPr>
        <w:t xml:space="preserve">Feedback Parameters</w:t>
      </w: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form uses a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5-point rating scale (1 = Lowest, 5 = Highest)</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to evaluate the following key aspects:</w:t>
      </w:r>
    </w:p>
    <w:p w:rsidR="00000000" w:rsidDel="00000000" w:rsidP="00000000" w:rsidRDefault="00000000" w:rsidRPr="00000000" w14:paraId="0000000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Curriculum Relevance:</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br w:type="textWrapping"/>
        <w:t xml:space="preserve">Whether the curriculum met the student’s learning expectations and aligned with career goals.</w:t>
      </w:r>
    </w:p>
    <w:p w:rsidR="00000000" w:rsidDel="00000000" w:rsidP="00000000" w:rsidRDefault="00000000" w:rsidRPr="00000000" w14:paraId="0000001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Teaching Methods &amp; Assessment:</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br w:type="textWrapping"/>
        <w:t xml:space="preserve">Effectiveness of classroom teaching, instructional strategies, activities, and evaluation processes in supporting learning.</w:t>
      </w:r>
    </w:p>
    <w:p w:rsidR="00000000" w:rsidDel="00000000" w:rsidP="00000000" w:rsidRDefault="00000000" w:rsidRPr="00000000" w14:paraId="0000001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Faculty Support:</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br w:type="textWrapping"/>
        <w:t xml:space="preserve">Availability, approachability, and academic guidance provided by faculty members throughout the course.</w:t>
      </w:r>
    </w:p>
    <w:p w:rsidR="00000000" w:rsidDel="00000000" w:rsidP="00000000" w:rsidRDefault="00000000" w:rsidRPr="00000000" w14:paraId="0000001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Skill Development:</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br w:type="textWrapping"/>
        <w:t xml:space="preserve">Extent to which the program contributed to the development of relevant skills, knowledge, competencies, and employability attributes.</w:t>
      </w:r>
    </w:p>
    <w:p w:rsidR="00000000" w:rsidDel="00000000" w:rsidP="00000000" w:rsidRDefault="00000000" w:rsidRPr="00000000" w14:paraId="0000001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Open Suggestions: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br w:type="textWrapping"/>
        <w:t xml:space="preserve">Students are encouraged to provide suggestions for improving:</w:t>
      </w:r>
    </w:p>
    <w:p w:rsidR="00000000" w:rsidDel="00000000" w:rsidP="00000000" w:rsidRDefault="00000000" w:rsidRPr="00000000" w14:paraId="00000014">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200" w:before="0" w:line="240" w:lineRule="auto"/>
        <w:ind w:left="144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Curriculum content</w:t>
      </w:r>
    </w:p>
    <w:p w:rsidR="00000000" w:rsidDel="00000000" w:rsidP="00000000" w:rsidRDefault="00000000" w:rsidRPr="00000000" w14:paraId="00000015">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200" w:before="0" w:line="240" w:lineRule="auto"/>
        <w:ind w:left="144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Teaching methodologies</w:t>
      </w:r>
    </w:p>
    <w:p w:rsidR="00000000" w:rsidDel="00000000" w:rsidP="00000000" w:rsidRDefault="00000000" w:rsidRPr="00000000" w14:paraId="00000016">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200" w:before="0" w:line="240" w:lineRule="auto"/>
        <w:ind w:left="144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Learning resources such as labs, library, digital tools, and academic support services</w:t>
      </w:r>
    </w:p>
    <w:p w:rsidR="00000000" w:rsidDel="00000000" w:rsidP="00000000" w:rsidRDefault="00000000" w:rsidRPr="00000000" w14:paraId="00000017">
      <w:pPr>
        <w:pStyle w:val="Heading3"/>
        <w:rPr/>
      </w:pPr>
      <w:r w:rsidDel="00000000" w:rsidR="00000000" w:rsidRPr="00000000">
        <w:rPr>
          <w:b w:val="1"/>
          <w:bCs w:val="1"/>
          <w:rtl w:val="0"/>
        </w:rPr>
        <w:t xml:space="preserve">Process of Analysis and Action Taken</w:t>
      </w:r>
      <w:r w:rsidDel="00000000" w:rsidR="00000000" w:rsidRPr="00000000">
        <w:rPr>
          <w:rtl w:val="0"/>
        </w:rPr>
      </w:r>
    </w:p>
    <w:p w:rsidR="00000000" w:rsidDel="00000000" w:rsidP="00000000" w:rsidRDefault="00000000" w:rsidRPr="00000000" w14:paraId="0000001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All responses are collected and compiled program-wise.</w:t>
      </w:r>
    </w:p>
    <w:p w:rsidR="00000000" w:rsidDel="00000000" w:rsidP="00000000" w:rsidRDefault="00000000" w:rsidRPr="00000000" w14:paraId="0000001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IQAC</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analyzes the data to identify trends, areas of satisfaction, and improvement needs.</w:t>
      </w:r>
    </w:p>
    <w:p w:rsidR="00000000" w:rsidDel="00000000" w:rsidP="00000000" w:rsidRDefault="00000000" w:rsidRPr="00000000" w14:paraId="0000001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Findings are shared with the academic council, heads of departments, and program coordinators.</w:t>
      </w:r>
    </w:p>
    <w:p w:rsidR="00000000" w:rsidDel="00000000" w:rsidP="00000000" w:rsidRDefault="00000000" w:rsidRPr="00000000" w14:paraId="0000001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Action Taken Reports (ATRs)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are prepared to document steps undertaken, such as:</w:t>
      </w:r>
    </w:p>
    <w:p w:rsidR="00000000" w:rsidDel="00000000" w:rsidP="00000000" w:rsidRDefault="00000000" w:rsidRPr="00000000" w14:paraId="0000001C">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200" w:before="0" w:line="240" w:lineRule="auto"/>
        <w:ind w:left="144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revision of course content</w:t>
      </w:r>
    </w:p>
    <w:p w:rsidR="00000000" w:rsidDel="00000000" w:rsidP="00000000" w:rsidRDefault="00000000" w:rsidRPr="00000000" w14:paraId="0000001D">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200" w:before="0" w:line="240" w:lineRule="auto"/>
        <w:ind w:left="144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improvement in pedagogy</w:t>
      </w:r>
    </w:p>
    <w:p w:rsidR="00000000" w:rsidDel="00000000" w:rsidP="00000000" w:rsidRDefault="00000000" w:rsidRPr="00000000" w14:paraId="0000001E">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200" w:before="0" w:line="240" w:lineRule="auto"/>
        <w:ind w:left="144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faculty training</w:t>
      </w:r>
    </w:p>
    <w:p w:rsidR="00000000" w:rsidDel="00000000" w:rsidP="00000000" w:rsidRDefault="00000000" w:rsidRPr="00000000" w14:paraId="0000001F">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200" w:before="0" w:line="240" w:lineRule="auto"/>
        <w:ind w:left="144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strengthening academic support and learning resources</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This structured mechanism ensures that student feedback contributes directly to curriculum enhancement and quality improvement, thereby aligning institutional practices with NAAC quality benchmarks.</w:t>
      </w:r>
    </w:p>
    <w:p w:rsidR="00000000" w:rsidDel="00000000" w:rsidP="00000000" w:rsidRDefault="00000000" w:rsidRPr="00000000" w14:paraId="00000021">
      <w:pPr>
        <w:rPr>
          <w:b w:val="1"/>
          <w:bCs w:val="1"/>
          <w:sz w:val="44"/>
          <w:szCs w:val="44"/>
          <w:u w:val="single"/>
        </w:rPr>
      </w:pPr>
      <w:r w:rsidDel="00000000" w:rsidR="00000000" w:rsidRPr="00000000">
        <w:rPr>
          <w:highlight w:val="cyan"/>
          <w:u w:val="single"/>
          <w:rtl w:val="0"/>
        </w:rPr>
        <w:t xml:space="preserve">Google Form Link</w:t>
      </w:r>
      <w:r w:rsidDel="00000000" w:rsidR="00000000" w:rsidRPr="00000000">
        <w:rPr>
          <w:rtl w:val="0"/>
        </w:rPr>
      </w:r>
    </w:p>
    <w:p w:rsidR="00000000" w:rsidDel="00000000" w:rsidP="00000000" w:rsidRDefault="00000000" w:rsidRPr="00000000" w14:paraId="00000022">
      <w:pPr>
        <w:rPr/>
      </w:pPr>
      <w:bookmarkStart w:colFirst="0" w:colLast="0" w:name="_rutdl5n3u6jw" w:id="0"/>
      <w:bookmarkEnd w:id="0"/>
      <w:r w:rsidDel="00000000" w:rsidR="00000000" w:rsidRPr="00000000">
        <w:rPr>
          <w:rtl w:val="0"/>
        </w:rPr>
        <w:t xml:space="preserve">https://forms.gle/xf7cbmnL2oCaz5U7A</w:t>
      </w:r>
    </w:p>
    <w:sectPr>
      <w:headerReference r:id="rId6"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ambria"/>
  <w:font w:name="Times New Roman"/>
  <w:font w:name="Georgia"/>
  <w:font w:name="Courier New"/>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drawing>
        <wp:inline distB="0" distT="0" distL="0" distR="0">
          <wp:extent cx="868831" cy="534052"/>
          <wp:effectExtent b="0" l="0" r="0" t="0"/>
          <wp:docPr descr="C:\Users\ass.DESKTOP-B0TS625\Downloads\iqac_logo_updated (1).png" id="1" name="image1.png"/>
          <a:graphic>
            <a:graphicData uri="http://schemas.openxmlformats.org/drawingml/2006/picture">
              <pic:pic>
                <pic:nvPicPr>
                  <pic:cNvPr descr="C:\Users\ass.DESKTOP-B0TS625\Downloads\iqac_logo_updated (1).png" id="0" name="image1.png"/>
                  <pic:cNvPicPr preferRelativeResize="0"/>
                </pic:nvPicPr>
                <pic:blipFill>
                  <a:blip r:embed="rId1"/>
                  <a:srcRect b="0" l="0" r="0" t="0"/>
                  <a:stretch>
                    <a:fillRect/>
                  </a:stretch>
                </pic:blipFill>
                <pic:spPr>
                  <a:xfrm>
                    <a:off x="0" y="0"/>
                    <a:ext cx="868831" cy="534052"/>
                  </a:xfrm>
                  <a:prstGeom prst="rect"/>
                  <a:ln/>
                </pic:spPr>
              </pic:pic>
            </a:graphicData>
          </a:graphic>
        </wp:inline>
      </w:drawing>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drawing>
        <wp:inline distB="0" distT="0" distL="0" distR="0">
          <wp:extent cx="1435130" cy="456787"/>
          <wp:effectExtent b="0" l="0" r="0" t="0"/>
          <wp:docPr id="2" name="image2.jpg"/>
          <a:graphic>
            <a:graphicData uri="http://schemas.openxmlformats.org/drawingml/2006/picture">
              <pic:pic>
                <pic:nvPicPr>
                  <pic:cNvPr id="0" name="image2.jpg"/>
                  <pic:cNvPicPr preferRelativeResize="0"/>
                </pic:nvPicPr>
                <pic:blipFill>
                  <a:blip r:embed="rId2"/>
                  <a:srcRect b="0" l="0" r="0" t="0"/>
                  <a:stretch>
                    <a:fillRect/>
                  </a:stretch>
                </pic:blipFill>
                <pic:spPr>
                  <a:xfrm>
                    <a:off x="0" y="0"/>
                    <a:ext cx="1435130" cy="456787"/>
                  </a:xfrm>
                  <a:prstGeom prst="rect"/>
                  <a:ln/>
                </pic:spPr>
              </pic:pic>
            </a:graphicData>
          </a:graphic>
        </wp:inline>
      </w:drawing>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decimal"/>
      <w:lvlText w:val="%1."/>
      <w:lvlJc w:val="left"/>
      <w:pPr>
        <w:ind w:left="720" w:hanging="360"/>
      </w:pPr>
      <w:rPr/>
    </w:lvl>
    <w:lvl w:ilvl="1">
      <w:start w:val="1"/>
      <w:numFmt w:val="bullet"/>
      <w:lvlText w:val="o"/>
      <w:lvlJc w:val="left"/>
      <w:pPr>
        <w:ind w:left="1440" w:hanging="360"/>
      </w:pPr>
      <w:rPr>
        <w:rFonts w:ascii="Courier New" w:cs="Courier New" w:eastAsia="Courier New" w:hAnsi="Courier New"/>
        <w:sz w:val="20"/>
        <w:szCs w:val="20"/>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I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480" w:lineRule="auto"/>
    </w:pPr>
    <w:rPr>
      <w:rFonts w:ascii="Cambria" w:cs="Cambria" w:eastAsia="Cambria" w:hAnsi="Cambria"/>
      <w:b w:val="1"/>
      <w:bCs w:val="1"/>
      <w:color w:val="366091"/>
      <w:sz w:val="28"/>
      <w:szCs w:val="28"/>
    </w:rPr>
  </w:style>
  <w:style w:type="paragraph" w:styleId="Heading2">
    <w:name w:val="heading 2"/>
    <w:basedOn w:val="Normal"/>
    <w:next w:val="Normal"/>
    <w:pPr>
      <w:spacing w:line="240" w:lineRule="auto"/>
    </w:pPr>
    <w:rPr>
      <w:rFonts w:ascii="Times New Roman" w:cs="Times New Roman" w:eastAsia="Times New Roman" w:hAnsi="Times New Roman"/>
      <w:b w:val="1"/>
      <w:bCs w:val="1"/>
      <w:sz w:val="36"/>
      <w:szCs w:val="36"/>
    </w:rPr>
  </w:style>
  <w:style w:type="paragraph" w:styleId="Heading3">
    <w:name w:val="heading 3"/>
    <w:basedOn w:val="Normal"/>
    <w:next w:val="Normal"/>
    <w:pPr>
      <w:spacing w:line="240" w:lineRule="auto"/>
    </w:pPr>
    <w:rPr>
      <w:rFonts w:ascii="Times New Roman" w:cs="Times New Roman" w:eastAsia="Times New Roman" w:hAnsi="Times New Roman"/>
      <w:b w:val="1"/>
      <w:bCs w:val="1"/>
      <w:sz w:val="27"/>
      <w:szCs w:val="27"/>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